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8B9AE" w14:textId="6CB42D8B" w:rsidR="00880F88" w:rsidRPr="0041072B" w:rsidRDefault="009B3CCB" w:rsidP="00880F88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sz w:val="32"/>
          <w:szCs w:val="32"/>
          <w:lang w:val="en" w:eastAsia="en-GB"/>
        </w:rPr>
      </w:pPr>
      <w:r w:rsidRPr="009B3CCB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953717" wp14:editId="61D6247B">
                <wp:simplePos x="0" y="0"/>
                <wp:positionH relativeFrom="column">
                  <wp:posOffset>5067300</wp:posOffset>
                </wp:positionH>
                <wp:positionV relativeFrom="paragraph">
                  <wp:posOffset>-504825</wp:posOffset>
                </wp:positionV>
                <wp:extent cx="438150" cy="3810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6F56B" w14:textId="0EC2FFC7" w:rsidR="009B3CCB" w:rsidRPr="009B3CCB" w:rsidRDefault="009B3CCB" w:rsidP="009B3CC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B3CCB">
                              <w:rPr>
                                <w:b/>
                                <w:bCs/>
                              </w:rPr>
                              <w:t>9.1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9537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9pt;margin-top:-39.75pt;width:34.5pt;height:3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" stroked="f">
                <v:textbox>
                  <w:txbxContent>
                    <w:p w14:paraId="3ED6F56B" w14:textId="0EC2FFC7" w:rsidR="009B3CCB" w:rsidRPr="009B3CCB" w:rsidRDefault="009B3CCB" w:rsidP="009B3CC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B3CCB">
                        <w:rPr>
                          <w:b/>
                          <w:bCs/>
                        </w:rPr>
                        <w:t>9.1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b/>
          <w:bCs/>
          <w:noProof/>
          <w:sz w:val="32"/>
          <w:szCs w:val="32"/>
          <w:lang w:val="en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A7F4B" wp14:editId="7CE14443">
                <wp:simplePos x="0" y="0"/>
                <wp:positionH relativeFrom="column">
                  <wp:posOffset>4924425</wp:posOffset>
                </wp:positionH>
                <wp:positionV relativeFrom="paragraph">
                  <wp:posOffset>-657225</wp:posOffset>
                </wp:positionV>
                <wp:extent cx="685800" cy="63817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381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94A03C" id="Oval 1" o:spid="_x0000_s1026" style="position:absolute;margin-left:387.75pt;margin-top:-51.75pt;width:54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" filled="f" strokecolor="#1f4d78 [1604]" strokeweight="1pt">
                <v:stroke joinstyle="miter"/>
              </v:oval>
            </w:pict>
          </mc:Fallback>
        </mc:AlternateContent>
      </w:r>
      <w:r w:rsidR="00880F88" w:rsidRPr="0041072B">
        <w:rPr>
          <w:rFonts w:ascii="Arial" w:eastAsia="Times New Roman" w:hAnsi="Arial" w:cs="Arial"/>
          <w:b/>
          <w:bCs/>
          <w:sz w:val="32"/>
          <w:szCs w:val="32"/>
          <w:lang w:val="en" w:eastAsia="en-GB"/>
        </w:rPr>
        <w:t xml:space="preserve">Notice </w:t>
      </w:r>
      <w:r w:rsidR="00880F88">
        <w:rPr>
          <w:rFonts w:ascii="Arial" w:eastAsia="Times New Roman" w:hAnsi="Arial" w:cs="Arial"/>
          <w:b/>
          <w:bCs/>
          <w:sz w:val="32"/>
          <w:szCs w:val="32"/>
          <w:lang w:val="en" w:eastAsia="en-GB"/>
        </w:rPr>
        <w:t>o</w:t>
      </w:r>
      <w:r w:rsidR="00880F88" w:rsidRPr="0041072B">
        <w:rPr>
          <w:rFonts w:ascii="Arial" w:eastAsia="Times New Roman" w:hAnsi="Arial" w:cs="Arial"/>
          <w:b/>
          <w:bCs/>
          <w:sz w:val="32"/>
          <w:szCs w:val="32"/>
          <w:lang w:val="en" w:eastAsia="en-GB"/>
        </w:rPr>
        <w:t xml:space="preserve">f Publication </w:t>
      </w:r>
      <w:r w:rsidR="00880F88">
        <w:rPr>
          <w:rFonts w:ascii="Arial" w:eastAsia="Times New Roman" w:hAnsi="Arial" w:cs="Arial"/>
          <w:b/>
          <w:bCs/>
          <w:sz w:val="32"/>
          <w:szCs w:val="32"/>
          <w:lang w:val="en" w:eastAsia="en-GB"/>
        </w:rPr>
        <w:t xml:space="preserve">of the </w:t>
      </w:r>
      <w:r w:rsidR="00880F88" w:rsidRPr="00880F88">
        <w:rPr>
          <w:rFonts w:ascii="Arial" w:hAnsi="Arial" w:cs="Arial"/>
          <w:b/>
          <w:sz w:val="32"/>
          <w:szCs w:val="32"/>
        </w:rPr>
        <w:t>Statement of Licensing Policy Principles under S.349 of The Gambling Act 2005</w:t>
      </w:r>
    </w:p>
    <w:p w14:paraId="214069F7" w14:textId="0EC033C8" w:rsidR="00081649" w:rsidRPr="00081649" w:rsidRDefault="00081649" w:rsidP="00081649">
      <w:pPr>
        <w:rPr>
          <w:rFonts w:ascii="Arial" w:hAnsi="Arial" w:cs="Arial"/>
          <w:b/>
        </w:rPr>
      </w:pPr>
      <w:r w:rsidRPr="00081649">
        <w:rPr>
          <w:rFonts w:ascii="Arial" w:hAnsi="Arial" w:cs="Arial"/>
          <w:b/>
        </w:rPr>
        <w:t>Service area</w:t>
      </w:r>
    </w:p>
    <w:p w14:paraId="3F2DF349" w14:textId="405A8BDB" w:rsidR="00081649" w:rsidRPr="00081649" w:rsidRDefault="00081649" w:rsidP="00081649">
      <w:pPr>
        <w:rPr>
          <w:rFonts w:ascii="Arial" w:hAnsi="Arial" w:cs="Arial"/>
        </w:rPr>
      </w:pPr>
    </w:p>
    <w:p w14:paraId="60DB0717" w14:textId="1704992B" w:rsidR="00081649" w:rsidRDefault="00081649" w:rsidP="00081649">
      <w:pPr>
        <w:rPr>
          <w:rFonts w:ascii="Arial" w:hAnsi="Arial" w:cs="Arial"/>
        </w:rPr>
      </w:pPr>
      <w:r>
        <w:rPr>
          <w:rFonts w:ascii="Arial" w:hAnsi="Arial" w:cs="Arial"/>
        </w:rPr>
        <w:t>Public Protection Partnership</w:t>
      </w:r>
    </w:p>
    <w:p w14:paraId="78349569" w14:textId="77777777" w:rsidR="00081649" w:rsidRDefault="00081649" w:rsidP="00081649">
      <w:pPr>
        <w:rPr>
          <w:rFonts w:ascii="Arial" w:hAnsi="Arial" w:cs="Arial"/>
        </w:rPr>
      </w:pPr>
    </w:p>
    <w:p w14:paraId="1454C2FA" w14:textId="07FD14B4" w:rsidR="00081649" w:rsidRDefault="00081649" w:rsidP="000816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Start of Consultation</w:t>
      </w:r>
    </w:p>
    <w:p w14:paraId="1147D107" w14:textId="77777777" w:rsidR="00081649" w:rsidRDefault="00081649" w:rsidP="00081649">
      <w:pPr>
        <w:rPr>
          <w:rFonts w:ascii="Arial" w:hAnsi="Arial" w:cs="Arial"/>
        </w:rPr>
      </w:pPr>
    </w:p>
    <w:p w14:paraId="3579531C" w14:textId="22FE4FCB" w:rsidR="00081649" w:rsidRPr="00081649" w:rsidRDefault="00081649" w:rsidP="00081649">
      <w:pPr>
        <w:rPr>
          <w:rFonts w:ascii="Arial" w:hAnsi="Arial" w:cs="Arial"/>
        </w:rPr>
      </w:pPr>
      <w:r>
        <w:rPr>
          <w:rFonts w:ascii="Arial" w:hAnsi="Arial" w:cs="Arial"/>
        </w:rPr>
        <w:t>07 July 2021</w:t>
      </w:r>
    </w:p>
    <w:p w14:paraId="1310028D" w14:textId="77777777" w:rsidR="00081649" w:rsidRDefault="00081649" w:rsidP="00081649">
      <w:pPr>
        <w:rPr>
          <w:rFonts w:ascii="Arial" w:hAnsi="Arial" w:cs="Arial"/>
          <w:b/>
        </w:rPr>
      </w:pPr>
    </w:p>
    <w:p w14:paraId="44963D41" w14:textId="77777777" w:rsidR="00081649" w:rsidRPr="00081649" w:rsidRDefault="00081649" w:rsidP="00081649">
      <w:pPr>
        <w:rPr>
          <w:rFonts w:ascii="Arial" w:hAnsi="Arial" w:cs="Arial"/>
          <w:b/>
        </w:rPr>
      </w:pPr>
      <w:r w:rsidRPr="00081649">
        <w:rPr>
          <w:rFonts w:ascii="Arial" w:hAnsi="Arial" w:cs="Arial"/>
          <w:b/>
        </w:rPr>
        <w:t>Deadline date for responses</w:t>
      </w:r>
    </w:p>
    <w:p w14:paraId="52B8C8FE" w14:textId="77777777" w:rsidR="00081649" w:rsidRPr="00081649" w:rsidRDefault="00081649" w:rsidP="00081649">
      <w:pPr>
        <w:rPr>
          <w:rFonts w:ascii="Arial" w:hAnsi="Arial" w:cs="Arial"/>
        </w:rPr>
      </w:pPr>
    </w:p>
    <w:p w14:paraId="1603A512" w14:textId="685EB3E1" w:rsidR="00081649" w:rsidRPr="00081649" w:rsidRDefault="00081649" w:rsidP="000816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29 September </w:t>
      </w:r>
      <w:r w:rsidRPr="00081649">
        <w:rPr>
          <w:rFonts w:ascii="Arial" w:hAnsi="Arial" w:cs="Arial"/>
        </w:rPr>
        <w:t>2021</w:t>
      </w:r>
    </w:p>
    <w:p w14:paraId="51BB54FB" w14:textId="77777777" w:rsidR="00081649" w:rsidRPr="00081649" w:rsidRDefault="00081649" w:rsidP="00081649">
      <w:pPr>
        <w:rPr>
          <w:rFonts w:ascii="Arial" w:hAnsi="Arial" w:cs="Arial"/>
        </w:rPr>
      </w:pPr>
    </w:p>
    <w:p w14:paraId="201D1BBB" w14:textId="77777777" w:rsidR="00081649" w:rsidRPr="00081649" w:rsidRDefault="00081649" w:rsidP="00081649">
      <w:pPr>
        <w:rPr>
          <w:rFonts w:ascii="Arial" w:hAnsi="Arial" w:cs="Arial"/>
          <w:b/>
        </w:rPr>
      </w:pPr>
      <w:r w:rsidRPr="00081649">
        <w:rPr>
          <w:rFonts w:ascii="Arial" w:hAnsi="Arial" w:cs="Arial"/>
          <w:b/>
        </w:rPr>
        <w:t>Deadline time for responses</w:t>
      </w:r>
    </w:p>
    <w:p w14:paraId="17BDA52F" w14:textId="77777777" w:rsidR="00081649" w:rsidRPr="00081649" w:rsidRDefault="00081649" w:rsidP="00081649">
      <w:pPr>
        <w:rPr>
          <w:rFonts w:ascii="Arial" w:hAnsi="Arial" w:cs="Arial"/>
        </w:rPr>
      </w:pPr>
    </w:p>
    <w:p w14:paraId="6176C427" w14:textId="77777777" w:rsidR="00081649" w:rsidRPr="00081649" w:rsidRDefault="00081649" w:rsidP="00081649">
      <w:pPr>
        <w:rPr>
          <w:rFonts w:ascii="Arial" w:hAnsi="Arial" w:cs="Arial"/>
        </w:rPr>
      </w:pPr>
      <w:r w:rsidRPr="00081649">
        <w:rPr>
          <w:rFonts w:ascii="Arial" w:hAnsi="Arial" w:cs="Arial"/>
        </w:rPr>
        <w:t>11:59</w:t>
      </w:r>
    </w:p>
    <w:p w14:paraId="24500255" w14:textId="77777777" w:rsidR="00081649" w:rsidRPr="00081649" w:rsidRDefault="00081649" w:rsidP="00081649">
      <w:pPr>
        <w:rPr>
          <w:rFonts w:ascii="Arial" w:hAnsi="Arial" w:cs="Arial"/>
        </w:rPr>
      </w:pPr>
    </w:p>
    <w:p w14:paraId="01C2B64A" w14:textId="77777777" w:rsidR="00081649" w:rsidRPr="00081649" w:rsidRDefault="00081649" w:rsidP="00081649">
      <w:pPr>
        <w:rPr>
          <w:rFonts w:ascii="Arial" w:hAnsi="Arial" w:cs="Arial"/>
          <w:b/>
        </w:rPr>
      </w:pPr>
      <w:r w:rsidRPr="00081649">
        <w:rPr>
          <w:rFonts w:ascii="Arial" w:hAnsi="Arial" w:cs="Arial"/>
          <w:b/>
        </w:rPr>
        <w:t>Details of consultation</w:t>
      </w:r>
    </w:p>
    <w:p w14:paraId="25D7E5D0" w14:textId="77777777" w:rsidR="00081649" w:rsidRPr="00081649" w:rsidRDefault="00081649" w:rsidP="00081649">
      <w:pPr>
        <w:rPr>
          <w:rFonts w:ascii="Arial" w:hAnsi="Arial" w:cs="Arial"/>
        </w:rPr>
      </w:pPr>
    </w:p>
    <w:p w14:paraId="23B100B8" w14:textId="77777777" w:rsidR="00081649" w:rsidRPr="00074ED6" w:rsidRDefault="00081649" w:rsidP="00081649">
      <w:pPr>
        <w:spacing w:after="240"/>
        <w:jc w:val="both"/>
        <w:rPr>
          <w:rFonts w:ascii="Arial" w:eastAsia="Times New Roman" w:hAnsi="Arial" w:cs="Arial"/>
          <w:lang w:val="en" w:eastAsia="en-GB"/>
        </w:rPr>
      </w:pPr>
      <w:r>
        <w:rPr>
          <w:rFonts w:ascii="Arial" w:eastAsia="Times New Roman" w:hAnsi="Arial" w:cs="Arial"/>
          <w:lang w:val="en" w:eastAsia="en-GB"/>
        </w:rPr>
        <w:t xml:space="preserve">Wokingham Borough </w:t>
      </w:r>
      <w:r w:rsidRPr="00074ED6">
        <w:rPr>
          <w:rFonts w:ascii="Arial" w:eastAsia="Times New Roman" w:hAnsi="Arial" w:cs="Arial"/>
          <w:lang w:val="en" w:eastAsia="en-GB"/>
        </w:rPr>
        <w:t>Council, along with all other licensing authorities, is required to prepare, adopt and publish a "Statement of Principles” (</w:t>
      </w:r>
      <w:proofErr w:type="spellStart"/>
      <w:r w:rsidRPr="00074ED6">
        <w:rPr>
          <w:rFonts w:ascii="Arial" w:eastAsia="Times New Roman" w:hAnsi="Arial" w:cs="Arial"/>
          <w:lang w:val="en" w:eastAsia="en-GB"/>
        </w:rPr>
        <w:t>SoP</w:t>
      </w:r>
      <w:proofErr w:type="spellEnd"/>
      <w:r w:rsidRPr="00074ED6">
        <w:rPr>
          <w:rFonts w:ascii="Arial" w:eastAsia="Times New Roman" w:hAnsi="Arial" w:cs="Arial"/>
          <w:lang w:val="en" w:eastAsia="en-GB"/>
        </w:rPr>
        <w:t xml:space="preserve">) setting out the Council's approach to applications under the </w:t>
      </w:r>
      <w:r w:rsidRPr="00880F88">
        <w:rPr>
          <w:rFonts w:ascii="Arial" w:eastAsia="Times New Roman" w:hAnsi="Arial" w:cs="Arial"/>
          <w:lang w:val="en" w:eastAsia="en-GB"/>
        </w:rPr>
        <w:t xml:space="preserve">Gambling </w:t>
      </w:r>
      <w:r w:rsidRPr="00074ED6">
        <w:rPr>
          <w:rFonts w:ascii="Arial" w:eastAsia="Times New Roman" w:hAnsi="Arial" w:cs="Arial"/>
          <w:lang w:val="en" w:eastAsia="en-GB"/>
        </w:rPr>
        <w:t xml:space="preserve">Act </w:t>
      </w:r>
      <w:r w:rsidRPr="00880F88">
        <w:rPr>
          <w:rFonts w:ascii="Arial" w:eastAsia="Times New Roman" w:hAnsi="Arial" w:cs="Arial"/>
          <w:lang w:val="en" w:eastAsia="en-GB"/>
        </w:rPr>
        <w:t xml:space="preserve">2005 </w:t>
      </w:r>
      <w:r>
        <w:rPr>
          <w:rFonts w:ascii="Arial" w:eastAsia="Times New Roman" w:hAnsi="Arial" w:cs="Arial"/>
          <w:lang w:val="en" w:eastAsia="en-GB"/>
        </w:rPr>
        <w:t xml:space="preserve">(hereafter known as The Act) </w:t>
      </w:r>
      <w:r w:rsidRPr="00074ED6">
        <w:rPr>
          <w:rFonts w:ascii="Arial" w:eastAsia="Times New Roman" w:hAnsi="Arial" w:cs="Arial"/>
          <w:lang w:val="en" w:eastAsia="en-GB"/>
        </w:rPr>
        <w:t>and the information it expects applicants to provide</w:t>
      </w:r>
      <w:r>
        <w:rPr>
          <w:rFonts w:ascii="Arial" w:eastAsia="Times New Roman" w:hAnsi="Arial" w:cs="Arial"/>
          <w:lang w:val="en" w:eastAsia="en-GB"/>
        </w:rPr>
        <w:t>.</w:t>
      </w:r>
      <w:r w:rsidRPr="00074ED6">
        <w:rPr>
          <w:rFonts w:ascii="Arial" w:eastAsia="Times New Roman" w:hAnsi="Arial" w:cs="Arial"/>
          <w:lang w:val="en" w:eastAsia="en-GB"/>
        </w:rPr>
        <w:t xml:space="preserve"> </w:t>
      </w:r>
      <w:r>
        <w:rPr>
          <w:rFonts w:ascii="Arial" w:eastAsia="Times New Roman" w:hAnsi="Arial" w:cs="Arial"/>
          <w:lang w:val="en" w:eastAsia="en-GB"/>
        </w:rPr>
        <w:t xml:space="preserve">The </w:t>
      </w:r>
      <w:proofErr w:type="spellStart"/>
      <w:r>
        <w:rPr>
          <w:rFonts w:ascii="Arial" w:eastAsia="Times New Roman" w:hAnsi="Arial" w:cs="Arial"/>
          <w:lang w:val="en" w:eastAsia="en-GB"/>
        </w:rPr>
        <w:t>SoP</w:t>
      </w:r>
      <w:proofErr w:type="spellEnd"/>
      <w:r>
        <w:rPr>
          <w:rFonts w:ascii="Arial" w:eastAsia="Times New Roman" w:hAnsi="Arial" w:cs="Arial"/>
          <w:lang w:val="en" w:eastAsia="en-GB"/>
        </w:rPr>
        <w:t xml:space="preserve"> </w:t>
      </w:r>
      <w:r w:rsidRPr="00074ED6">
        <w:rPr>
          <w:rFonts w:ascii="Arial" w:eastAsia="Times New Roman" w:hAnsi="Arial" w:cs="Arial"/>
          <w:lang w:val="en" w:eastAsia="en-GB"/>
        </w:rPr>
        <w:t>guides the admini</w:t>
      </w:r>
      <w:r>
        <w:rPr>
          <w:rFonts w:ascii="Arial" w:eastAsia="Times New Roman" w:hAnsi="Arial" w:cs="Arial"/>
          <w:lang w:val="en" w:eastAsia="en-GB"/>
        </w:rPr>
        <w:t xml:space="preserve">stration of licensing under The Act </w:t>
      </w:r>
      <w:r w:rsidRPr="00074ED6">
        <w:rPr>
          <w:rFonts w:ascii="Arial" w:eastAsia="Times New Roman" w:hAnsi="Arial" w:cs="Arial"/>
          <w:lang w:val="en" w:eastAsia="en-GB"/>
        </w:rPr>
        <w:t xml:space="preserve">and </w:t>
      </w:r>
      <w:r>
        <w:rPr>
          <w:rFonts w:ascii="Arial" w:eastAsia="Times New Roman" w:hAnsi="Arial" w:cs="Arial"/>
          <w:lang w:val="en" w:eastAsia="en-GB"/>
        </w:rPr>
        <w:t xml:space="preserve">helps to ensure </w:t>
      </w:r>
      <w:r w:rsidRPr="00074ED6">
        <w:rPr>
          <w:rFonts w:ascii="Arial" w:eastAsia="Times New Roman" w:hAnsi="Arial" w:cs="Arial"/>
          <w:lang w:val="en" w:eastAsia="en-GB"/>
        </w:rPr>
        <w:t>that an appropriate balance is drawn between the interests of those wishing to provide and take part in legal gambling, and those who might be adversely affected by such activities</w:t>
      </w:r>
      <w:r>
        <w:rPr>
          <w:rFonts w:ascii="Arial" w:eastAsia="Times New Roman" w:hAnsi="Arial" w:cs="Arial"/>
          <w:lang w:val="en" w:eastAsia="en-GB"/>
        </w:rPr>
        <w:t>.</w:t>
      </w:r>
    </w:p>
    <w:p w14:paraId="5E571559" w14:textId="22A25D36" w:rsidR="00081649" w:rsidRDefault="00081649" w:rsidP="00081649">
      <w:pPr>
        <w:spacing w:before="100" w:beforeAutospacing="1" w:after="100" w:afterAutospacing="1"/>
        <w:jc w:val="both"/>
        <w:rPr>
          <w:rFonts w:ascii="Arial" w:eastAsia="Times New Roman" w:hAnsi="Arial" w:cs="Arial"/>
          <w:lang w:val="en" w:eastAsia="en-GB"/>
        </w:rPr>
      </w:pPr>
      <w:r w:rsidRPr="0041072B">
        <w:rPr>
          <w:rFonts w:ascii="Arial" w:eastAsia="Times New Roman" w:hAnsi="Arial" w:cs="Arial"/>
          <w:lang w:val="en" w:eastAsia="en-GB"/>
        </w:rPr>
        <w:t xml:space="preserve">Under </w:t>
      </w:r>
      <w:r>
        <w:rPr>
          <w:rFonts w:ascii="Arial" w:eastAsia="Times New Roman" w:hAnsi="Arial" w:cs="Arial"/>
          <w:lang w:val="en" w:eastAsia="en-GB"/>
        </w:rPr>
        <w:t xml:space="preserve">the Act the </w:t>
      </w:r>
      <w:r w:rsidRPr="0041072B">
        <w:rPr>
          <w:rFonts w:ascii="Arial" w:eastAsia="Times New Roman" w:hAnsi="Arial" w:cs="Arial"/>
          <w:lang w:val="en" w:eastAsia="en-GB"/>
        </w:rPr>
        <w:t xml:space="preserve">Council is required to review its policy </w:t>
      </w:r>
      <w:r>
        <w:rPr>
          <w:rFonts w:ascii="Arial" w:eastAsia="Times New Roman" w:hAnsi="Arial" w:cs="Arial"/>
          <w:lang w:val="en" w:eastAsia="en-GB"/>
        </w:rPr>
        <w:t>at least every three years or when the C</w:t>
      </w:r>
      <w:r w:rsidRPr="0041072B">
        <w:rPr>
          <w:rFonts w:ascii="Arial" w:eastAsia="Times New Roman" w:hAnsi="Arial" w:cs="Arial"/>
          <w:lang w:val="en" w:eastAsia="en-GB"/>
        </w:rPr>
        <w:t xml:space="preserve">ouncil believes the policy requires updating. </w:t>
      </w:r>
      <w:r>
        <w:rPr>
          <w:rFonts w:ascii="Arial" w:eastAsia="Times New Roman" w:hAnsi="Arial" w:cs="Arial"/>
          <w:lang w:val="en" w:eastAsia="en-GB"/>
        </w:rPr>
        <w:t xml:space="preserve">The </w:t>
      </w:r>
      <w:hyperlink r:id="rId5" w:history="1">
        <w:r w:rsidR="000166A4">
          <w:rPr>
            <w:rStyle w:val="Hyperlink"/>
            <w:rFonts w:ascii="Arial" w:eastAsia="Times New Roman" w:hAnsi="Arial" w:cs="Arial"/>
            <w:lang w:val="en" w:eastAsia="en-GB"/>
          </w:rPr>
          <w:t>current policy</w:t>
        </w:r>
      </w:hyperlink>
      <w:r>
        <w:rPr>
          <w:rFonts w:ascii="Arial" w:eastAsia="Times New Roman" w:hAnsi="Arial" w:cs="Arial"/>
          <w:lang w:val="en" w:eastAsia="en-GB"/>
        </w:rPr>
        <w:t xml:space="preserve">  is due to expire at the end of January 2022. </w:t>
      </w:r>
    </w:p>
    <w:p w14:paraId="28760E2D" w14:textId="0714454D" w:rsidR="00081649" w:rsidRDefault="00081649" w:rsidP="00081649">
      <w:pPr>
        <w:spacing w:before="100" w:beforeAutospacing="1" w:after="100" w:afterAutospacing="1"/>
        <w:jc w:val="both"/>
        <w:rPr>
          <w:rFonts w:ascii="Arial" w:eastAsia="Times New Roman" w:hAnsi="Arial" w:cs="Arial"/>
          <w:lang w:val="en" w:eastAsia="en-GB"/>
        </w:rPr>
      </w:pPr>
      <w:r>
        <w:rPr>
          <w:rFonts w:ascii="Arial" w:eastAsia="Times New Roman" w:hAnsi="Arial" w:cs="Arial"/>
          <w:lang w:val="en" w:eastAsia="en-GB"/>
        </w:rPr>
        <w:t xml:space="preserve">The revised draft statement for consultation was discussed at the </w:t>
      </w:r>
      <w:hyperlink r:id="rId6" w:history="1">
        <w:r w:rsidR="000166A4" w:rsidRPr="00255D06">
          <w:rPr>
            <w:lang w:val="en" w:eastAsia="en-GB"/>
          </w:rPr>
          <w:t>Licensing</w:t>
        </w:r>
        <w:r w:rsidR="000166A4" w:rsidRPr="000166A4">
          <w:rPr>
            <w:rStyle w:val="Hyperlink"/>
            <w:rFonts w:ascii="Arial" w:eastAsia="Times New Roman" w:hAnsi="Arial" w:cs="Arial"/>
            <w:lang w:val="en" w:eastAsia="en-GB"/>
          </w:rPr>
          <w:t xml:space="preserve"> and Appeals Committee 23 June 2021</w:t>
        </w:r>
      </w:hyperlink>
      <w:r w:rsidR="000166A4">
        <w:rPr>
          <w:rFonts w:ascii="Arial" w:eastAsia="Times New Roman" w:hAnsi="Arial" w:cs="Arial"/>
          <w:lang w:val="en" w:eastAsia="en-GB"/>
        </w:rPr>
        <w:t>.</w:t>
      </w:r>
    </w:p>
    <w:p w14:paraId="540A9430" w14:textId="77777777" w:rsidR="00081649" w:rsidRPr="00E976A0" w:rsidRDefault="00081649" w:rsidP="00081649">
      <w:pPr>
        <w:spacing w:after="240"/>
        <w:jc w:val="both"/>
        <w:rPr>
          <w:rFonts w:ascii="Arial" w:eastAsia="Times New Roman" w:hAnsi="Arial" w:cs="Arial"/>
          <w:lang w:val="en" w:eastAsia="en-GB"/>
        </w:rPr>
      </w:pPr>
      <w:r w:rsidRPr="00E976A0">
        <w:rPr>
          <w:rFonts w:ascii="Arial" w:eastAsia="Times New Roman" w:hAnsi="Arial" w:cs="Arial"/>
          <w:lang w:val="en" w:eastAsia="en-GB"/>
        </w:rPr>
        <w:t xml:space="preserve">The revised document </w:t>
      </w:r>
      <w:r>
        <w:rPr>
          <w:rFonts w:ascii="Arial" w:eastAsia="Times New Roman" w:hAnsi="Arial" w:cs="Arial"/>
          <w:lang w:val="en" w:eastAsia="en-GB"/>
        </w:rPr>
        <w:t xml:space="preserve">has been prepared </w:t>
      </w:r>
      <w:r w:rsidRPr="00E976A0">
        <w:rPr>
          <w:rFonts w:ascii="Arial" w:eastAsia="Times New Roman" w:hAnsi="Arial" w:cs="Arial"/>
          <w:lang w:val="en" w:eastAsia="en-GB"/>
        </w:rPr>
        <w:t xml:space="preserve">is in accordance with guidance issued by the Gambling Commission, details of which are available on their website, </w:t>
      </w:r>
      <w:hyperlink r:id="rId7" w:history="1">
        <w:r w:rsidRPr="00E976A0">
          <w:rPr>
            <w:rFonts w:ascii="Arial" w:eastAsia="Times New Roman" w:hAnsi="Arial" w:cs="Arial"/>
            <w:color w:val="DC0050"/>
            <w:u w:val="single"/>
            <w:lang w:val="en" w:eastAsia="en-GB"/>
          </w:rPr>
          <w:t>Gamblingcommission.gov.uk</w:t>
        </w:r>
      </w:hyperlink>
    </w:p>
    <w:p w14:paraId="34E3C5FD" w14:textId="77777777" w:rsidR="00081649" w:rsidRDefault="00081649" w:rsidP="00081649">
      <w:pPr>
        <w:spacing w:before="100" w:beforeAutospacing="1" w:after="100" w:afterAutospacing="1"/>
        <w:jc w:val="both"/>
        <w:rPr>
          <w:rFonts w:ascii="Arial" w:eastAsia="Times New Roman" w:hAnsi="Arial" w:cs="Arial"/>
          <w:lang w:val="en" w:eastAsia="en-GB"/>
        </w:rPr>
      </w:pPr>
      <w:r>
        <w:rPr>
          <w:rFonts w:ascii="Arial" w:eastAsia="Times New Roman" w:hAnsi="Arial" w:cs="Arial"/>
          <w:lang w:val="en" w:eastAsia="en-GB"/>
        </w:rPr>
        <w:t xml:space="preserve">The Council now needs </w:t>
      </w:r>
      <w:r w:rsidRPr="0041072B">
        <w:rPr>
          <w:rFonts w:ascii="Arial" w:eastAsia="Times New Roman" w:hAnsi="Arial" w:cs="Arial"/>
          <w:lang w:val="en" w:eastAsia="en-GB"/>
        </w:rPr>
        <w:t>to consult with those bodies and/or persons that may be affected.</w:t>
      </w:r>
      <w:r>
        <w:rPr>
          <w:rFonts w:ascii="Arial" w:eastAsia="Times New Roman" w:hAnsi="Arial" w:cs="Arial"/>
          <w:lang w:val="en" w:eastAsia="en-GB"/>
        </w:rPr>
        <w:t xml:space="preserve"> While The Council will be writing to stakeholders members of the public are also able to comment on the draft policy statement should they wish to do so.</w:t>
      </w:r>
    </w:p>
    <w:p w14:paraId="6B1DE6D7" w14:textId="2847FED5" w:rsidR="00081649" w:rsidRPr="00255D06" w:rsidRDefault="00081649" w:rsidP="0071700B">
      <w:pPr>
        <w:spacing w:before="100" w:beforeAutospacing="1" w:after="100" w:afterAutospacing="1"/>
        <w:rPr>
          <w:rFonts w:ascii="Arial" w:eastAsia="Times New Roman" w:hAnsi="Arial" w:cs="Arial"/>
          <w:highlight w:val="yellow"/>
          <w:lang w:val="en" w:eastAsia="en-GB"/>
        </w:rPr>
      </w:pPr>
      <w:r w:rsidRPr="0041072B">
        <w:rPr>
          <w:rFonts w:ascii="Arial" w:eastAsia="Times New Roman" w:hAnsi="Arial" w:cs="Arial"/>
          <w:lang w:val="en" w:eastAsia="en-GB"/>
        </w:rPr>
        <w:t xml:space="preserve">The full policy is detailed in the document </w:t>
      </w:r>
      <w:r w:rsidR="0071700B">
        <w:rPr>
          <w:rFonts w:ascii="Arial" w:eastAsia="Times New Roman" w:hAnsi="Arial" w:cs="Arial"/>
          <w:lang w:val="en" w:eastAsia="en-GB"/>
        </w:rPr>
        <w:t xml:space="preserve">which can be found </w:t>
      </w:r>
      <w:hyperlink r:id="rId8" w:history="1">
        <w:r w:rsidR="0071700B" w:rsidRPr="0071700B">
          <w:rPr>
            <w:rStyle w:val="Hyperlink"/>
            <w:rFonts w:ascii="Arial" w:eastAsia="Times New Roman" w:hAnsi="Arial" w:cs="Arial"/>
            <w:lang w:val="en" w:eastAsia="en-GB"/>
          </w:rPr>
          <w:t>here.</w:t>
        </w:r>
      </w:hyperlink>
    </w:p>
    <w:p w14:paraId="0C0B6E74" w14:textId="77777777" w:rsidR="00081649" w:rsidRPr="00255D06" w:rsidRDefault="00081649" w:rsidP="00081649">
      <w:pPr>
        <w:rPr>
          <w:rFonts w:ascii="Arial" w:hAnsi="Arial" w:cs="Arial"/>
          <w:b/>
        </w:rPr>
      </w:pPr>
      <w:r w:rsidRPr="00255D06">
        <w:rPr>
          <w:rFonts w:ascii="Arial" w:hAnsi="Arial" w:cs="Arial"/>
          <w:b/>
        </w:rPr>
        <w:t>How to respond</w:t>
      </w:r>
    </w:p>
    <w:p w14:paraId="29BCD674" w14:textId="77777777" w:rsidR="00081649" w:rsidRPr="0041072B" w:rsidRDefault="00081649" w:rsidP="0071700B">
      <w:pPr>
        <w:spacing w:before="100" w:beforeAutospacing="1" w:after="100" w:afterAutospacing="1"/>
        <w:jc w:val="both"/>
        <w:rPr>
          <w:rFonts w:ascii="Arial" w:eastAsia="Times New Roman" w:hAnsi="Arial" w:cs="Arial"/>
          <w:lang w:val="en" w:eastAsia="en-GB"/>
        </w:rPr>
      </w:pPr>
      <w:r w:rsidRPr="0041072B">
        <w:rPr>
          <w:rFonts w:ascii="Arial" w:eastAsia="Times New Roman" w:hAnsi="Arial" w:cs="Arial"/>
          <w:lang w:val="en" w:eastAsia="en-GB"/>
        </w:rPr>
        <w:t>Should you wish to comment on the statement you could do so by:</w:t>
      </w:r>
    </w:p>
    <w:p w14:paraId="2178B899" w14:textId="32DA4320" w:rsidR="00081649" w:rsidRPr="00081649" w:rsidRDefault="00081649" w:rsidP="0071700B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41072B">
        <w:rPr>
          <w:rFonts w:ascii="Arial" w:eastAsia="Times New Roman" w:hAnsi="Arial" w:cs="Arial"/>
          <w:lang w:val="en" w:eastAsia="en-GB"/>
        </w:rPr>
        <w:lastRenderedPageBreak/>
        <w:t xml:space="preserve">Sending a letter with your comments to </w:t>
      </w:r>
      <w:r w:rsidR="00255D06">
        <w:rPr>
          <w:rFonts w:ascii="Arial" w:eastAsia="Times New Roman" w:hAnsi="Arial" w:cs="Arial"/>
          <w:lang w:val="en" w:eastAsia="en-GB"/>
        </w:rPr>
        <w:t xml:space="preserve">Moira Fraser, </w:t>
      </w:r>
      <w:r w:rsidRPr="0041072B">
        <w:rPr>
          <w:rFonts w:ascii="Arial" w:eastAsia="Times New Roman" w:hAnsi="Arial" w:cs="Arial"/>
          <w:lang w:val="en" w:eastAsia="en-GB"/>
        </w:rPr>
        <w:t>Licensing</w:t>
      </w:r>
      <w:r w:rsidR="00255D06">
        <w:rPr>
          <w:rFonts w:ascii="Arial" w:eastAsia="Times New Roman" w:hAnsi="Arial" w:cs="Arial"/>
          <w:lang w:val="en" w:eastAsia="en-GB"/>
        </w:rPr>
        <w:t xml:space="preserve"> Team</w:t>
      </w:r>
      <w:r w:rsidRPr="00081649">
        <w:rPr>
          <w:rFonts w:ascii="Arial" w:eastAsia="Times New Roman" w:hAnsi="Arial" w:cs="Arial"/>
          <w:lang w:val="en" w:eastAsia="en-GB"/>
        </w:rPr>
        <w:t xml:space="preserve"> </w:t>
      </w:r>
      <w:r w:rsidRPr="003F2B48">
        <w:t>,</w:t>
      </w:r>
      <w:r>
        <w:t xml:space="preserve"> </w:t>
      </w:r>
      <w:r w:rsidRPr="003F2B48">
        <w:t>Public Protection Partnership</w:t>
      </w:r>
      <w:r>
        <w:t xml:space="preserve">, </w:t>
      </w:r>
      <w:r w:rsidRPr="003F2B48">
        <w:t>Theale Library</w:t>
      </w:r>
      <w:r>
        <w:t xml:space="preserve">, </w:t>
      </w:r>
      <w:r w:rsidRPr="003F2B48">
        <w:t>Church Street</w:t>
      </w:r>
      <w:r>
        <w:t xml:space="preserve">, </w:t>
      </w:r>
      <w:r w:rsidRPr="003F2B48">
        <w:t>Theale</w:t>
      </w:r>
      <w:r>
        <w:t xml:space="preserve">, </w:t>
      </w:r>
      <w:r w:rsidRPr="003F2B48">
        <w:t>Berkshire</w:t>
      </w:r>
      <w:r>
        <w:t>,</w:t>
      </w:r>
      <w:r w:rsidRPr="003F2B48">
        <w:t xml:space="preserve"> RG7 5BZ</w:t>
      </w:r>
    </w:p>
    <w:p w14:paraId="2167603B" w14:textId="7F171EA5" w:rsidR="00763BDC" w:rsidRDefault="00081649" w:rsidP="0071700B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081649">
        <w:rPr>
          <w:rFonts w:ascii="Arial" w:eastAsia="Times New Roman" w:hAnsi="Arial" w:cs="Arial"/>
          <w:lang w:val="en" w:eastAsia="en-GB"/>
        </w:rPr>
        <w:t xml:space="preserve">Sending an e-mail to </w:t>
      </w:r>
      <w:hyperlink r:id="rId9" w:history="1">
        <w:r w:rsidR="00255D06">
          <w:rPr>
            <w:rStyle w:val="Hyperlink"/>
            <w:rFonts w:ascii="Arial" w:hAnsi="Arial" w:cs="Arial"/>
            <w:lang w:val="en-US"/>
          </w:rPr>
          <w:t>licensing@wokingham.gov.uk</w:t>
        </w:r>
      </w:hyperlink>
      <w:r w:rsidR="00255D06">
        <w:rPr>
          <w:rFonts w:ascii="Arial" w:hAnsi="Arial" w:cs="Arial"/>
          <w:lang w:val="en-US"/>
        </w:rPr>
        <w:t>.</w:t>
      </w:r>
    </w:p>
    <w:p w14:paraId="34FFA1DE" w14:textId="4DF19A4A" w:rsidR="00763BDC" w:rsidRDefault="00763BDC" w:rsidP="0071700B">
      <w:pPr>
        <w:spacing w:before="100" w:beforeAutospacing="1" w:after="100" w:afterAutospacing="1"/>
        <w:jc w:val="both"/>
        <w:rPr>
          <w:rFonts w:ascii="Arial" w:hAnsi="Arial" w:cs="Arial"/>
          <w:b/>
        </w:rPr>
      </w:pPr>
      <w:r w:rsidRPr="00763BDC">
        <w:rPr>
          <w:rFonts w:ascii="Arial" w:hAnsi="Arial" w:cs="Arial"/>
          <w:b/>
        </w:rPr>
        <w:t>Reporting Back</w:t>
      </w:r>
    </w:p>
    <w:p w14:paraId="48B8DE27" w14:textId="1195BBAF" w:rsidR="00763BDC" w:rsidRPr="00763BDC" w:rsidRDefault="00763BDC" w:rsidP="0071700B">
      <w:pPr>
        <w:spacing w:before="100" w:beforeAutospacing="1" w:after="100" w:afterAutospacing="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Any </w:t>
      </w:r>
      <w:r w:rsidRPr="006874E6">
        <w:rPr>
          <w:rFonts w:ascii="Arial" w:hAnsi="Arial" w:cs="Arial"/>
        </w:rPr>
        <w:t xml:space="preserve">comments on the revised </w:t>
      </w:r>
      <w:proofErr w:type="spellStart"/>
      <w:r>
        <w:rPr>
          <w:rFonts w:ascii="Arial" w:hAnsi="Arial" w:cs="Arial"/>
        </w:rPr>
        <w:t>SoP</w:t>
      </w:r>
      <w:proofErr w:type="spellEnd"/>
      <w:r w:rsidRPr="006874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will </w:t>
      </w:r>
      <w:r w:rsidRPr="006874E6">
        <w:rPr>
          <w:rFonts w:ascii="Arial" w:hAnsi="Arial" w:cs="Arial"/>
        </w:rPr>
        <w:t xml:space="preserve">be brought to the </w:t>
      </w:r>
      <w:r>
        <w:rPr>
          <w:rFonts w:ascii="Arial" w:hAnsi="Arial" w:cs="Arial"/>
        </w:rPr>
        <w:t xml:space="preserve">20 October 2021 </w:t>
      </w:r>
      <w:r w:rsidRPr="006874E6">
        <w:rPr>
          <w:rFonts w:ascii="Arial" w:hAnsi="Arial" w:cs="Arial"/>
        </w:rPr>
        <w:t xml:space="preserve">Licensing </w:t>
      </w:r>
      <w:r>
        <w:rPr>
          <w:rFonts w:ascii="Arial" w:hAnsi="Arial" w:cs="Arial"/>
        </w:rPr>
        <w:t xml:space="preserve">and Appeals </w:t>
      </w:r>
      <w:r w:rsidRPr="006874E6">
        <w:rPr>
          <w:rFonts w:ascii="Arial" w:hAnsi="Arial" w:cs="Arial"/>
        </w:rPr>
        <w:t xml:space="preserve">Committee meeting for discussion prior to the report being formally presented for adoption at the </w:t>
      </w:r>
      <w:r>
        <w:rPr>
          <w:rFonts w:ascii="Arial" w:hAnsi="Arial" w:cs="Arial"/>
        </w:rPr>
        <w:t xml:space="preserve">18 November </w:t>
      </w:r>
      <w:r w:rsidRPr="006874E6">
        <w:rPr>
          <w:rFonts w:ascii="Arial" w:hAnsi="Arial" w:cs="Arial"/>
        </w:rPr>
        <w:t>2021 Council meeting</w:t>
      </w:r>
      <w:r w:rsidR="00FB22E6">
        <w:rPr>
          <w:rFonts w:ascii="Arial" w:hAnsi="Arial" w:cs="Arial"/>
        </w:rPr>
        <w:t>.</w:t>
      </w:r>
    </w:p>
    <w:sectPr w:rsidR="00763BDC" w:rsidRPr="00763B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0450E"/>
    <w:multiLevelType w:val="multilevel"/>
    <w:tmpl w:val="B6B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E61255"/>
    <w:multiLevelType w:val="multilevel"/>
    <w:tmpl w:val="E7541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A06C4C"/>
    <w:multiLevelType w:val="multilevel"/>
    <w:tmpl w:val="E7541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D85E4B"/>
    <w:multiLevelType w:val="hybridMultilevel"/>
    <w:tmpl w:val="7C425F5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715EC4"/>
    <w:multiLevelType w:val="multilevel"/>
    <w:tmpl w:val="E7541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F88"/>
    <w:rsid w:val="000166A4"/>
    <w:rsid w:val="00081649"/>
    <w:rsid w:val="00244458"/>
    <w:rsid w:val="00255D06"/>
    <w:rsid w:val="002B5D8C"/>
    <w:rsid w:val="00496883"/>
    <w:rsid w:val="0071700B"/>
    <w:rsid w:val="00763BDC"/>
    <w:rsid w:val="007D0DED"/>
    <w:rsid w:val="00880F88"/>
    <w:rsid w:val="009B3CCB"/>
    <w:rsid w:val="009C0572"/>
    <w:rsid w:val="00AD6A56"/>
    <w:rsid w:val="00B6166B"/>
    <w:rsid w:val="00C90C0D"/>
    <w:rsid w:val="00E976A0"/>
    <w:rsid w:val="00FB22E6"/>
    <w:rsid w:val="00FE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F2527"/>
  <w15:chartTrackingRefBased/>
  <w15:docId w15:val="{594AD153-DDC3-49BF-883F-DFF6FC0C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8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5D8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5D8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5D8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5D8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5D8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5D8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5D8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5D8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5D8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5D8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5D8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5D8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5D8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5D8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5D8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5D8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5D8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5D8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2B5D8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B5D8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5D8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B5D8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2B5D8C"/>
    <w:rPr>
      <w:b/>
      <w:bCs/>
    </w:rPr>
  </w:style>
  <w:style w:type="character" w:styleId="Emphasis">
    <w:name w:val="Emphasis"/>
    <w:basedOn w:val="DefaultParagraphFont"/>
    <w:uiPriority w:val="20"/>
    <w:qFormat/>
    <w:rsid w:val="002B5D8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2B5D8C"/>
    <w:rPr>
      <w:szCs w:val="32"/>
    </w:rPr>
  </w:style>
  <w:style w:type="paragraph" w:styleId="ListParagraph">
    <w:name w:val="List Paragraph"/>
    <w:basedOn w:val="Normal"/>
    <w:uiPriority w:val="34"/>
    <w:qFormat/>
    <w:rsid w:val="002B5D8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B5D8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B5D8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5D8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5D8C"/>
    <w:rPr>
      <w:b/>
      <w:i/>
      <w:sz w:val="24"/>
    </w:rPr>
  </w:style>
  <w:style w:type="character" w:styleId="SubtleEmphasis">
    <w:name w:val="Subtle Emphasis"/>
    <w:uiPriority w:val="19"/>
    <w:qFormat/>
    <w:rsid w:val="002B5D8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B5D8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B5D8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B5D8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B5D8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5D8C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880F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F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F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F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F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F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F8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8164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66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licprotectionpartnership.org.uk/licensing/consultation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amblingcommission.gov.uk/home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kingham.moderngov.co.uk/ieListDocuments.aspx?CId=144&amp;MId=4009&amp;Ver=4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mike.balbini.AD\AppData\Local\Microsoft\Windows\INetCache\Content.Outlook\Q5OETHB7\statement-of-gambling-principles-2019-to-2022-wokingham-bc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icensing@wokingham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Berkshire Council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Moira Fraser</dc:creator>
  <cp:keywords/>
  <dc:description/>
  <cp:lastModifiedBy>Kouy Young</cp:lastModifiedBy>
  <cp:revision>3</cp:revision>
  <dcterms:created xsi:type="dcterms:W3CDTF">2021-07-09T13:10:00Z</dcterms:created>
  <dcterms:modified xsi:type="dcterms:W3CDTF">2021-07-12T15:05:00Z</dcterms:modified>
</cp:coreProperties>
</file>